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7711A0" w:rsidRDefault="007711A0" w:rsidP="00E0751D">
      <w:pPr>
        <w:spacing w:after="0" w:line="240" w:lineRule="auto"/>
      </w:pPr>
      <w:r>
        <w:t xml:space="preserve">El Sistema para el Desarrollo Integral de la Familia del Municipio de San Luis de la Paz, </w:t>
      </w:r>
      <w:proofErr w:type="spellStart"/>
      <w:r>
        <w:t>Gto</w:t>
      </w:r>
      <w:proofErr w:type="spellEnd"/>
      <w:r>
        <w:t xml:space="preserve">. </w:t>
      </w:r>
      <w:r w:rsidR="00445610">
        <w:t>Muestra</w:t>
      </w:r>
      <w:r w:rsidR="000A746E">
        <w:t xml:space="preserve"> en el cuarto </w:t>
      </w:r>
      <w:r>
        <w:t>trime</w:t>
      </w:r>
      <w:r w:rsidR="007019EE">
        <w:t>stre de su ejercicio fiscal 2019</w:t>
      </w:r>
      <w:r>
        <w:t xml:space="preserve"> un balance presupuestario de recursos disponible sostenible; siempre que como prioridad en el ejercicio del gasto público se considera los ingresos en proyección que puede obtener el Sistema.</w:t>
      </w:r>
    </w:p>
    <w:p w:rsidR="007711A0" w:rsidRPr="00AF5CAD" w:rsidRDefault="007711A0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lastRenderedPageBreak/>
        <w:t>Se informará:</w:t>
      </w:r>
    </w:p>
    <w:p w:rsidR="00E0751D" w:rsidRDefault="00E0751D" w:rsidP="007711A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45610" w:rsidRDefault="00445610" w:rsidP="00445610">
      <w:pPr>
        <w:pStyle w:val="Prrafodelista"/>
        <w:spacing w:after="0" w:line="240" w:lineRule="auto"/>
        <w:jc w:val="both"/>
      </w:pPr>
    </w:p>
    <w:p w:rsidR="007019EE" w:rsidRDefault="007019EE" w:rsidP="007019EE">
      <w:pPr>
        <w:spacing w:after="0" w:line="240" w:lineRule="auto"/>
        <w:ind w:firstLine="360"/>
      </w:pPr>
      <w:r>
        <w:t>En este apartado no aplica.</w:t>
      </w:r>
    </w:p>
    <w:p w:rsidR="00F825BC" w:rsidRDefault="00F825BC" w:rsidP="007711A0">
      <w:pPr>
        <w:pStyle w:val="Prrafodelista"/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483D38" w:rsidP="00E0751D">
      <w:pPr>
        <w:spacing w:after="0" w:line="240" w:lineRule="auto"/>
      </w:pPr>
      <w:r>
        <w:tab/>
        <w:t>En este apartado no aplica.</w:t>
      </w: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0A746E" w:rsidP="00E0751D">
      <w:pPr>
        <w:spacing w:after="0" w:line="240" w:lineRule="auto"/>
      </w:pPr>
      <w:r>
        <w:t>Se informará solo al 31</w:t>
      </w:r>
      <w:r w:rsidR="00E0751D">
        <w:t xml:space="preserve"> de </w:t>
      </w:r>
      <w:r w:rsidR="00E023AD">
        <w:t>diciembre</w:t>
      </w:r>
      <w:r w:rsidR="007019EE">
        <w:t xml:space="preserve"> 2019</w:t>
      </w:r>
      <w:r w:rsidR="0097085D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"/>
        <w:gridCol w:w="3084"/>
        <w:gridCol w:w="1920"/>
        <w:gridCol w:w="1920"/>
        <w:gridCol w:w="1922"/>
      </w:tblGrid>
      <w:tr w:rsidR="0044581D" w:rsidRPr="0044581D" w:rsidTr="0044581D">
        <w:trPr>
          <w:trHeight w:val="857"/>
        </w:trPr>
        <w:tc>
          <w:tcPr>
            <w:tcW w:w="9094" w:type="dxa"/>
            <w:gridSpan w:val="5"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  <w:r w:rsidRPr="0044581D">
              <w:rPr>
                <w:b/>
                <w:bCs/>
              </w:rPr>
              <w:t>SISTEMA PARA EL DESARROLLO INTEGRAL DE LA FAMILIA DE SAN LUIS PAZ, GTO.</w:t>
            </w:r>
            <w:r w:rsidRPr="0044581D">
              <w:rPr>
                <w:b/>
                <w:bCs/>
              </w:rPr>
              <w:br/>
              <w:t xml:space="preserve">ESTADO ANALÍTICO DEL EJERCICIO DEL PRESUPUESTO DE EGRESOS POR OBJETO DEL GASTO </w:t>
            </w:r>
            <w:r w:rsidRPr="0044581D">
              <w:rPr>
                <w:b/>
                <w:bCs/>
              </w:rPr>
              <w:br/>
              <w:t xml:space="preserve"> AL 31 DE DICIEMBRE DEL 2019</w:t>
            </w:r>
          </w:p>
        </w:tc>
      </w:tr>
      <w:tr w:rsidR="0044581D" w:rsidRPr="0044581D" w:rsidTr="0044581D">
        <w:trPr>
          <w:trHeight w:val="192"/>
        </w:trPr>
        <w:tc>
          <w:tcPr>
            <w:tcW w:w="3332" w:type="dxa"/>
            <w:gridSpan w:val="2"/>
            <w:vMerge w:val="restart"/>
            <w:noWrap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  <w:r w:rsidRPr="0044581D">
              <w:rPr>
                <w:b/>
                <w:bCs/>
              </w:rPr>
              <w:t>Concepto</w:t>
            </w:r>
          </w:p>
        </w:tc>
        <w:tc>
          <w:tcPr>
            <w:tcW w:w="5762" w:type="dxa"/>
            <w:gridSpan w:val="3"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  <w:r w:rsidRPr="0044581D">
              <w:rPr>
                <w:b/>
                <w:bCs/>
              </w:rPr>
              <w:t> </w:t>
            </w:r>
          </w:p>
        </w:tc>
      </w:tr>
      <w:tr w:rsidR="0044581D" w:rsidRPr="0044581D" w:rsidTr="0044581D">
        <w:trPr>
          <w:trHeight w:val="427"/>
        </w:trPr>
        <w:tc>
          <w:tcPr>
            <w:tcW w:w="3332" w:type="dxa"/>
            <w:gridSpan w:val="2"/>
            <w:vMerge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</w:p>
        </w:tc>
        <w:tc>
          <w:tcPr>
            <w:tcW w:w="1920" w:type="dxa"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  <w:r w:rsidRPr="0044581D">
              <w:rPr>
                <w:b/>
                <w:bCs/>
              </w:rPr>
              <w:t>Modificado</w:t>
            </w:r>
          </w:p>
        </w:tc>
        <w:tc>
          <w:tcPr>
            <w:tcW w:w="1920" w:type="dxa"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  <w:r w:rsidRPr="0044581D">
              <w:rPr>
                <w:b/>
                <w:bCs/>
              </w:rPr>
              <w:t>Devengado</w:t>
            </w:r>
          </w:p>
        </w:tc>
        <w:tc>
          <w:tcPr>
            <w:tcW w:w="1920" w:type="dxa"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  <w:r w:rsidRPr="0044581D">
              <w:rPr>
                <w:b/>
                <w:bCs/>
              </w:rPr>
              <w:t>Pagado</w:t>
            </w:r>
          </w:p>
        </w:tc>
      </w:tr>
      <w:tr w:rsidR="0044581D" w:rsidRPr="0044581D" w:rsidTr="0044581D">
        <w:trPr>
          <w:trHeight w:val="192"/>
        </w:trPr>
        <w:tc>
          <w:tcPr>
            <w:tcW w:w="3332" w:type="dxa"/>
            <w:gridSpan w:val="2"/>
            <w:vMerge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</w:p>
        </w:tc>
        <w:tc>
          <w:tcPr>
            <w:tcW w:w="1920" w:type="dxa"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  <w:r w:rsidRPr="0044581D">
              <w:rPr>
                <w:b/>
                <w:bCs/>
              </w:rPr>
              <w:t>3 = (1 + 2 )</w:t>
            </w:r>
          </w:p>
        </w:tc>
        <w:tc>
          <w:tcPr>
            <w:tcW w:w="1920" w:type="dxa"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  <w:r w:rsidRPr="0044581D">
              <w:rPr>
                <w:b/>
                <w:bCs/>
              </w:rPr>
              <w:t>4</w:t>
            </w:r>
          </w:p>
        </w:tc>
        <w:tc>
          <w:tcPr>
            <w:tcW w:w="1920" w:type="dxa"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  <w:r w:rsidRPr="0044581D">
              <w:rPr>
                <w:b/>
                <w:bCs/>
              </w:rPr>
              <w:t>5</w:t>
            </w:r>
          </w:p>
        </w:tc>
      </w:tr>
      <w:tr w:rsidR="0044581D" w:rsidRPr="0044581D" w:rsidTr="0044581D">
        <w:trPr>
          <w:trHeight w:val="192"/>
        </w:trPr>
        <w:tc>
          <w:tcPr>
            <w:tcW w:w="3332" w:type="dxa"/>
            <w:gridSpan w:val="2"/>
            <w:noWrap/>
            <w:hideMark/>
          </w:tcPr>
          <w:p w:rsidR="0044581D" w:rsidRPr="0044581D" w:rsidRDefault="0044581D" w:rsidP="0044581D">
            <w:r w:rsidRPr="0044581D">
              <w:t>Servicios Personales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8,411,317.17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8,126,066.65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8,107,401.19</w:t>
            </w:r>
          </w:p>
        </w:tc>
      </w:tr>
      <w:tr w:rsidR="0044581D" w:rsidRPr="0044581D" w:rsidTr="0044581D">
        <w:trPr>
          <w:trHeight w:val="192"/>
        </w:trPr>
        <w:tc>
          <w:tcPr>
            <w:tcW w:w="3332" w:type="dxa"/>
            <w:gridSpan w:val="2"/>
            <w:noWrap/>
            <w:hideMark/>
          </w:tcPr>
          <w:p w:rsidR="0044581D" w:rsidRPr="0044581D" w:rsidRDefault="0044581D" w:rsidP="0044581D">
            <w:r w:rsidRPr="0044581D">
              <w:t>Materiales Y Suministros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946,871.75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857,218.82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855,863.96</w:t>
            </w:r>
          </w:p>
        </w:tc>
      </w:tr>
      <w:tr w:rsidR="0044581D" w:rsidRPr="0044581D" w:rsidTr="0044581D">
        <w:trPr>
          <w:trHeight w:val="192"/>
        </w:trPr>
        <w:tc>
          <w:tcPr>
            <w:tcW w:w="3332" w:type="dxa"/>
            <w:gridSpan w:val="2"/>
            <w:noWrap/>
            <w:hideMark/>
          </w:tcPr>
          <w:p w:rsidR="0044581D" w:rsidRPr="0044581D" w:rsidRDefault="0044581D" w:rsidP="0044581D">
            <w:r w:rsidRPr="0044581D">
              <w:t>Servicios Generales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1,008,120.75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879,772.82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877,272.82</w:t>
            </w:r>
          </w:p>
        </w:tc>
      </w:tr>
      <w:tr w:rsidR="0044581D" w:rsidRPr="0044581D" w:rsidTr="0044581D">
        <w:trPr>
          <w:trHeight w:val="192"/>
        </w:trPr>
        <w:tc>
          <w:tcPr>
            <w:tcW w:w="3332" w:type="dxa"/>
            <w:gridSpan w:val="2"/>
            <w:noWrap/>
            <w:hideMark/>
          </w:tcPr>
          <w:p w:rsidR="0044581D" w:rsidRPr="0044581D" w:rsidRDefault="0044581D" w:rsidP="0044581D">
            <w:r w:rsidRPr="0044581D">
              <w:t>Transferencias, Asignaciones, Subsidios Y Otras Ayudas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186,067.84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146,644.10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145,136.10</w:t>
            </w:r>
          </w:p>
        </w:tc>
      </w:tr>
      <w:tr w:rsidR="0044581D" w:rsidRPr="0044581D" w:rsidTr="0044581D">
        <w:trPr>
          <w:trHeight w:val="192"/>
        </w:trPr>
        <w:tc>
          <w:tcPr>
            <w:tcW w:w="3332" w:type="dxa"/>
            <w:gridSpan w:val="2"/>
            <w:noWrap/>
            <w:hideMark/>
          </w:tcPr>
          <w:p w:rsidR="0044581D" w:rsidRPr="0044581D" w:rsidRDefault="0044581D" w:rsidP="0044581D">
            <w:r w:rsidRPr="0044581D">
              <w:t>Bienes Muebles, Inmuebles E Intangibles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36,108.00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35,733.01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35,733.01</w:t>
            </w:r>
          </w:p>
        </w:tc>
      </w:tr>
      <w:tr w:rsidR="0044581D" w:rsidRPr="0044581D" w:rsidTr="0044581D">
        <w:trPr>
          <w:trHeight w:val="192"/>
        </w:trPr>
        <w:tc>
          <w:tcPr>
            <w:tcW w:w="3332" w:type="dxa"/>
            <w:gridSpan w:val="2"/>
            <w:noWrap/>
            <w:hideMark/>
          </w:tcPr>
          <w:p w:rsidR="0044581D" w:rsidRPr="0044581D" w:rsidRDefault="0044581D" w:rsidP="0044581D">
            <w:r w:rsidRPr="0044581D">
              <w:t>Inversión Pública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0.00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0.00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0.00</w:t>
            </w:r>
          </w:p>
        </w:tc>
      </w:tr>
      <w:tr w:rsidR="0044581D" w:rsidRPr="0044581D" w:rsidTr="0044581D">
        <w:trPr>
          <w:trHeight w:val="192"/>
        </w:trPr>
        <w:tc>
          <w:tcPr>
            <w:tcW w:w="3332" w:type="dxa"/>
            <w:gridSpan w:val="2"/>
            <w:noWrap/>
            <w:hideMark/>
          </w:tcPr>
          <w:p w:rsidR="0044581D" w:rsidRPr="0044581D" w:rsidRDefault="0044581D" w:rsidP="0044581D">
            <w:r w:rsidRPr="0044581D">
              <w:t>Inversiones Financieras Y Otras Provisiones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0.00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0.00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0.00</w:t>
            </w:r>
          </w:p>
        </w:tc>
      </w:tr>
      <w:tr w:rsidR="0044581D" w:rsidRPr="0044581D" w:rsidTr="0044581D">
        <w:trPr>
          <w:trHeight w:val="192"/>
        </w:trPr>
        <w:tc>
          <w:tcPr>
            <w:tcW w:w="3332" w:type="dxa"/>
            <w:gridSpan w:val="2"/>
            <w:noWrap/>
            <w:hideMark/>
          </w:tcPr>
          <w:p w:rsidR="0044581D" w:rsidRPr="0044581D" w:rsidRDefault="0044581D" w:rsidP="0044581D">
            <w:r w:rsidRPr="0044581D">
              <w:t>Participaciones Y Aportaciones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464,346.17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408,220.00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407,620.00</w:t>
            </w:r>
          </w:p>
        </w:tc>
      </w:tr>
      <w:tr w:rsidR="0044581D" w:rsidRPr="0044581D" w:rsidTr="0044581D">
        <w:trPr>
          <w:trHeight w:val="192"/>
        </w:trPr>
        <w:tc>
          <w:tcPr>
            <w:tcW w:w="3332" w:type="dxa"/>
            <w:gridSpan w:val="2"/>
            <w:noWrap/>
            <w:hideMark/>
          </w:tcPr>
          <w:p w:rsidR="0044581D" w:rsidRPr="0044581D" w:rsidRDefault="0044581D" w:rsidP="0044581D">
            <w:r w:rsidRPr="0044581D">
              <w:t>Deuda Pública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0.00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0.00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r w:rsidRPr="0044581D">
              <w:t>0.00</w:t>
            </w:r>
          </w:p>
        </w:tc>
      </w:tr>
      <w:tr w:rsidR="0044581D" w:rsidRPr="0044581D" w:rsidTr="0044581D">
        <w:trPr>
          <w:trHeight w:val="192"/>
        </w:trPr>
        <w:tc>
          <w:tcPr>
            <w:tcW w:w="248" w:type="dxa"/>
            <w:noWrap/>
            <w:hideMark/>
          </w:tcPr>
          <w:p w:rsidR="0044581D" w:rsidRPr="0044581D" w:rsidRDefault="0044581D" w:rsidP="0044581D">
            <w:r w:rsidRPr="0044581D">
              <w:t> </w:t>
            </w:r>
          </w:p>
        </w:tc>
        <w:tc>
          <w:tcPr>
            <w:tcW w:w="3083" w:type="dxa"/>
            <w:noWrap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  <w:r w:rsidRPr="0044581D">
              <w:rPr>
                <w:b/>
                <w:bCs/>
              </w:rPr>
              <w:t>Total del Gasto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  <w:r w:rsidRPr="0044581D">
              <w:rPr>
                <w:b/>
                <w:bCs/>
              </w:rPr>
              <w:t>11,052,831.68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  <w:r w:rsidRPr="0044581D">
              <w:rPr>
                <w:b/>
                <w:bCs/>
              </w:rPr>
              <w:t>10,453,655.40</w:t>
            </w:r>
          </w:p>
        </w:tc>
        <w:tc>
          <w:tcPr>
            <w:tcW w:w="1920" w:type="dxa"/>
            <w:noWrap/>
            <w:hideMark/>
          </w:tcPr>
          <w:p w:rsidR="0044581D" w:rsidRPr="0044581D" w:rsidRDefault="0044581D" w:rsidP="0044581D">
            <w:pPr>
              <w:rPr>
                <w:b/>
                <w:bCs/>
              </w:rPr>
            </w:pPr>
            <w:r w:rsidRPr="0044581D">
              <w:rPr>
                <w:b/>
                <w:bCs/>
              </w:rPr>
              <w:t>10,429,027.08</w:t>
            </w:r>
          </w:p>
        </w:tc>
      </w:tr>
      <w:tr w:rsidR="0044581D" w:rsidRPr="0044581D" w:rsidTr="0044581D">
        <w:trPr>
          <w:trHeight w:val="192"/>
        </w:trPr>
        <w:tc>
          <w:tcPr>
            <w:tcW w:w="248" w:type="dxa"/>
            <w:noWrap/>
          </w:tcPr>
          <w:p w:rsidR="0044581D" w:rsidRPr="0044581D" w:rsidRDefault="0044581D" w:rsidP="0044581D"/>
        </w:tc>
        <w:tc>
          <w:tcPr>
            <w:tcW w:w="3083" w:type="dxa"/>
            <w:noWrap/>
          </w:tcPr>
          <w:p w:rsidR="0044581D" w:rsidRPr="0044581D" w:rsidRDefault="0044581D" w:rsidP="0044581D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</w:tcPr>
          <w:p w:rsidR="0044581D" w:rsidRPr="0044581D" w:rsidRDefault="0044581D" w:rsidP="0044581D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</w:tcPr>
          <w:p w:rsidR="0044581D" w:rsidRPr="0044581D" w:rsidRDefault="0044581D" w:rsidP="0044581D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</w:tcPr>
          <w:p w:rsidR="0044581D" w:rsidRPr="0044581D" w:rsidRDefault="0044581D" w:rsidP="0044581D">
            <w:pPr>
              <w:rPr>
                <w:b/>
                <w:bCs/>
              </w:rPr>
            </w:pPr>
          </w:p>
        </w:tc>
      </w:tr>
    </w:tbl>
    <w:p w:rsidR="0044581D" w:rsidRDefault="0044581D" w:rsidP="00E0751D">
      <w:pPr>
        <w:spacing w:after="0" w:line="240" w:lineRule="auto"/>
      </w:pPr>
    </w:p>
    <w:p w:rsidR="00F1025D" w:rsidRDefault="00F1025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F1025D" w:rsidRPr="00F1025D" w:rsidRDefault="00F1025D" w:rsidP="00F1025D">
      <w:pPr>
        <w:spacing w:after="0" w:line="240" w:lineRule="auto"/>
        <w:jc w:val="both"/>
      </w:pPr>
      <w:r>
        <w:t xml:space="preserve">En éste periodo el </w:t>
      </w:r>
      <w:r w:rsidR="00445610">
        <w:t xml:space="preserve">Sistema para el Desarrollo Integral de la Familia del Municipio de San Luis de la Paz, </w:t>
      </w:r>
      <w:proofErr w:type="spellStart"/>
      <w:r w:rsidR="00445610">
        <w:t>Gto</w:t>
      </w:r>
      <w:proofErr w:type="spellEnd"/>
      <w:r w:rsidR="00445610">
        <w:t xml:space="preserve"> </w:t>
      </w:r>
      <w:r w:rsidRPr="00F1025D">
        <w:t xml:space="preserve">no cuenta con contratación de instrumentos de crédito o jurídicos relativos a que hace referencia el artículo 25 de la LDF. </w:t>
      </w:r>
    </w:p>
    <w:p w:rsidR="00E0751D" w:rsidRDefault="00E0751D" w:rsidP="00E0751D">
      <w:pPr>
        <w:spacing w:after="0" w:line="240" w:lineRule="auto"/>
        <w:jc w:val="both"/>
      </w:pPr>
    </w:p>
    <w:p w:rsidR="00F1025D" w:rsidRDefault="00F1025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  <w:r>
        <w:t xml:space="preserve">En éste periodo el Sistema para el Desarrollo Integral de la Familia del Municipio de San Luis de la Paz, </w:t>
      </w:r>
      <w:proofErr w:type="spellStart"/>
      <w:r>
        <w:t>Gto</w:t>
      </w:r>
      <w:proofErr w:type="spellEnd"/>
      <w:r>
        <w:t xml:space="preserve"> </w:t>
      </w:r>
      <w:r w:rsidRPr="00F1025D">
        <w:t xml:space="preserve">  no cuenta con contratación de instrumentos de crédito o jurídicos relativos a qu</w:t>
      </w:r>
      <w:r>
        <w:t>e hace referencia el artículo 31</w:t>
      </w:r>
      <w:r w:rsidRPr="00F1025D">
        <w:t xml:space="preserve"> de la LDF. </w:t>
      </w: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975976" w:rsidRDefault="00975976" w:rsidP="00F1025D">
      <w:pPr>
        <w:spacing w:after="0" w:line="240" w:lineRule="auto"/>
        <w:jc w:val="both"/>
      </w:pPr>
    </w:p>
    <w:p w:rsidR="00F1025D" w:rsidRPr="00F1025D" w:rsidRDefault="00F1025D" w:rsidP="00F1025D">
      <w:pPr>
        <w:spacing w:after="0" w:line="240" w:lineRule="auto"/>
        <w:jc w:val="both"/>
      </w:pPr>
    </w:p>
    <w:p w:rsidR="00F1025D" w:rsidRDefault="00F1025D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F1025D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:rsidR="00F1025D" w:rsidRDefault="00F1025D" w:rsidP="00F1025D">
      <w:pPr>
        <w:pStyle w:val="Prrafodelista"/>
        <w:spacing w:after="0" w:line="240" w:lineRule="auto"/>
      </w:pPr>
    </w:p>
    <w:p w:rsidR="00F1025D" w:rsidRPr="00F1025D" w:rsidRDefault="00F1025D" w:rsidP="00F1025D">
      <w:pPr>
        <w:spacing w:after="0" w:line="240" w:lineRule="auto"/>
        <w:jc w:val="both"/>
      </w:pPr>
      <w:r w:rsidRPr="00F1025D">
        <w:t xml:space="preserve">El </w:t>
      </w:r>
      <w:r>
        <w:t xml:space="preserve">Sistema para el Desarrollo Integral de la Familia del Municipio de San Luis de la Paz, </w:t>
      </w:r>
      <w:proofErr w:type="spellStart"/>
      <w:r>
        <w:t>Gto</w:t>
      </w:r>
      <w:proofErr w:type="spellEnd"/>
      <w:r>
        <w:t xml:space="preserve"> </w:t>
      </w:r>
      <w:r w:rsidRPr="00F1025D">
        <w:t xml:space="preserve"> no tiene convenios o instrumentos de crédito contratados al periodo de referencia por lo que no hay información a revelar de acuerdo a lo establecido por el artículo </w:t>
      </w:r>
      <w:proofErr w:type="spellStart"/>
      <w:r w:rsidRPr="00F1025D">
        <w:rPr>
          <w:i/>
        </w:rPr>
        <w:t>Artículo</w:t>
      </w:r>
      <w:proofErr w:type="spellEnd"/>
      <w:r w:rsidRPr="00F1025D">
        <w:rPr>
          <w:i/>
        </w:rPr>
        <w:t xml:space="preserve"> 40 LDF.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sectPr w:rsid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E8" w:rsidRPr="00A82CE8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3344AC" w:rsidP="0012031E">
    <w:pPr>
      <w:pStyle w:val="Encabezado"/>
      <w:jc w:val="center"/>
    </w:pPr>
    <w:r>
      <w:t>SISTEMA PARA EL DESARROLLO INTEGRAL DE LA FAMILIA DEL MUNICIPIO DE SAN LUIS DE LA PAZ, GTO.</w:t>
    </w:r>
  </w:p>
  <w:p w:rsidR="0012031E" w:rsidRDefault="000A746E" w:rsidP="0012031E">
    <w:pPr>
      <w:pStyle w:val="Encabezado"/>
      <w:jc w:val="center"/>
    </w:pPr>
    <w:r>
      <w:t>CORRESPONDINTES AL CUARTO</w:t>
    </w:r>
    <w:r w:rsidR="00C56C4B">
      <w:t xml:space="preserve"> </w:t>
    </w:r>
    <w:r w:rsidR="00DA31B4">
      <w:t>TRIMESTRE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64FF"/>
    <w:multiLevelType w:val="hybridMultilevel"/>
    <w:tmpl w:val="B17C8E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06CA"/>
    <w:multiLevelType w:val="hybridMultilevel"/>
    <w:tmpl w:val="2CB819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96112"/>
    <w:rsid w:val="000A746E"/>
    <w:rsid w:val="0012031E"/>
    <w:rsid w:val="00171518"/>
    <w:rsid w:val="003344AC"/>
    <w:rsid w:val="00442140"/>
    <w:rsid w:val="00445610"/>
    <w:rsid w:val="0044581D"/>
    <w:rsid w:val="00483D38"/>
    <w:rsid w:val="004C23EA"/>
    <w:rsid w:val="004E741B"/>
    <w:rsid w:val="006954E3"/>
    <w:rsid w:val="007019EE"/>
    <w:rsid w:val="00762AA6"/>
    <w:rsid w:val="007711A0"/>
    <w:rsid w:val="00784CB7"/>
    <w:rsid w:val="00940570"/>
    <w:rsid w:val="0096159D"/>
    <w:rsid w:val="0097085D"/>
    <w:rsid w:val="00975976"/>
    <w:rsid w:val="00A827B2"/>
    <w:rsid w:val="00A82CE8"/>
    <w:rsid w:val="00AF3F0C"/>
    <w:rsid w:val="00AF5CAD"/>
    <w:rsid w:val="00B262AB"/>
    <w:rsid w:val="00B41404"/>
    <w:rsid w:val="00C13BE0"/>
    <w:rsid w:val="00C56C4B"/>
    <w:rsid w:val="00D8411F"/>
    <w:rsid w:val="00DA31B4"/>
    <w:rsid w:val="00E023AD"/>
    <w:rsid w:val="00E0751D"/>
    <w:rsid w:val="00F1025D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F1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21</cp:revision>
  <dcterms:created xsi:type="dcterms:W3CDTF">2019-04-10T19:20:00Z</dcterms:created>
  <dcterms:modified xsi:type="dcterms:W3CDTF">2020-02-13T17:59:00Z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